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03" w:rsidRDefault="00DB5803" w:rsidP="00DB5803">
      <w:pPr>
        <w:pBdr>
          <w:top w:val="nil"/>
          <w:left w:val="nil"/>
          <w:bottom w:val="nil"/>
          <w:right w:val="nil"/>
          <w:between w:val="nil"/>
        </w:pBdr>
        <w:jc w:val="both"/>
        <w:rPr>
          <w:rFonts w:ascii="Calibri" w:eastAsia="Calibri" w:hAnsi="Calibri" w:cs="Calibri"/>
          <w:b/>
          <w:color w:val="000000"/>
        </w:rPr>
      </w:pPr>
    </w:p>
    <w:p w:rsidR="00DB5803" w:rsidRDefault="00DB5803" w:rsidP="00DB5803">
      <w:pPr>
        <w:pStyle w:val="Heading1"/>
        <w:jc w:val="center"/>
        <w:rPr>
          <w:rFonts w:ascii="Calibri" w:eastAsia="Calibri" w:hAnsi="Calibri" w:cs="Calibri"/>
          <w:smallCaps/>
          <w:color w:val="000000"/>
        </w:rPr>
      </w:pPr>
      <w:r>
        <w:rPr>
          <w:rFonts w:ascii="Calibri" w:eastAsia="Calibri" w:hAnsi="Calibri" w:cs="Calibri"/>
          <w:smallCaps/>
          <w:color w:val="000000"/>
        </w:rPr>
        <w:t>SECTION V: SUPPLIER QUALIFICATION REQUIREMENTS</w:t>
      </w:r>
    </w:p>
    <w:p w:rsidR="00DB5803" w:rsidRDefault="00DB5803" w:rsidP="00DB5803">
      <w:pPr>
        <w:pBdr>
          <w:top w:val="nil"/>
          <w:left w:val="nil"/>
          <w:bottom w:val="nil"/>
          <w:right w:val="nil"/>
          <w:between w:val="nil"/>
        </w:pBdr>
        <w:ind w:left="360"/>
        <w:jc w:val="both"/>
        <w:rPr>
          <w:rFonts w:ascii="Calibri" w:eastAsia="Calibri" w:hAnsi="Calibri" w:cs="Calibri"/>
          <w:b/>
          <w:color w:val="000000"/>
        </w:rPr>
      </w:pPr>
    </w:p>
    <w:p w:rsidR="00DB5803" w:rsidRDefault="00DB5803" w:rsidP="00DB5803">
      <w:pPr>
        <w:pBdr>
          <w:top w:val="nil"/>
          <w:left w:val="nil"/>
          <w:bottom w:val="nil"/>
          <w:right w:val="nil"/>
          <w:between w:val="nil"/>
        </w:pBdr>
        <w:ind w:left="360"/>
        <w:jc w:val="both"/>
        <w:rPr>
          <w:rFonts w:ascii="Calibri" w:eastAsia="Calibri" w:hAnsi="Calibri" w:cs="Calibri"/>
          <w:b/>
          <w:color w:val="000000"/>
        </w:rPr>
      </w:pPr>
    </w:p>
    <w:p w:rsidR="00DB5803" w:rsidRDefault="00DB5803" w:rsidP="00DB5803">
      <w:pPr>
        <w:numPr>
          <w:ilvl w:val="0"/>
          <w:numId w:val="1"/>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and regulatory requirements</w:t>
      </w:r>
    </w:p>
    <w:p w:rsidR="00DB5803" w:rsidRPr="003E06D4" w:rsidRDefault="00DB5803" w:rsidP="00DB5803">
      <w:pPr>
        <w:numPr>
          <w:ilvl w:val="1"/>
          <w:numId w:val="2"/>
        </w:numPr>
        <w:pBdr>
          <w:top w:val="nil"/>
          <w:left w:val="nil"/>
          <w:bottom w:val="nil"/>
          <w:right w:val="nil"/>
          <w:between w:val="nil"/>
        </w:pBdr>
        <w:tabs>
          <w:tab w:val="left" w:pos="851"/>
        </w:tabs>
        <w:spacing w:line="276" w:lineRule="auto"/>
        <w:jc w:val="both"/>
        <w:rPr>
          <w:rFonts w:ascii="Calibri" w:eastAsia="Calibri" w:hAnsi="Calibri" w:cs="Calibri"/>
        </w:rPr>
      </w:pPr>
      <w:r w:rsidRPr="003E06D4">
        <w:rPr>
          <w:rFonts w:ascii="Calibri" w:eastAsia="Calibri" w:hAnsi="Calibri" w:cs="Calibri"/>
          <w:color w:val="000000"/>
        </w:rPr>
        <w:t>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w:t>
      </w:r>
      <w:r>
        <w:rPr>
          <w:rFonts w:ascii="Calibri" w:eastAsia="Calibri" w:hAnsi="Calibri" w:cs="Calibri"/>
          <w:color w:val="000000"/>
        </w:rPr>
        <w:t xml:space="preserve"> provided for this bid(</w:t>
      </w:r>
      <w:r>
        <w:rPr>
          <w:rFonts w:ascii="Calibri" w:eastAsia="Calibri" w:hAnsi="Calibri" w:cs="Calibri"/>
          <w:smallCaps/>
          <w:color w:val="000000"/>
        </w:rPr>
        <w:t>SECTION III Conditions of Contract)</w:t>
      </w:r>
    </w:p>
    <w:p w:rsidR="00DB5803" w:rsidRDefault="00DB5803" w:rsidP="00DB5803">
      <w:pPr>
        <w:numPr>
          <w:ilvl w:val="0"/>
          <w:numId w:val="1"/>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status of the Bidder</w:t>
      </w:r>
    </w:p>
    <w:p w:rsidR="00DB5803" w:rsidRDefault="00DB5803" w:rsidP="00DB5803">
      <w:pPr>
        <w:numPr>
          <w:ilvl w:val="1"/>
          <w:numId w:val="5"/>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Technical Proposals from the Bidders should provide evidence that the Bidder is established as a company and legally incorporated in the country; e.g. through provision of certification of incorporation or other evidence (this is not required for companies already registered in national, regional or international Stock Exchanges. However, evidence on such registrations should be provided)</w:t>
      </w:r>
    </w:p>
    <w:p w:rsidR="00DB5803" w:rsidRDefault="00DB5803" w:rsidP="00DB5803">
      <w:pPr>
        <w:numPr>
          <w:ilvl w:val="0"/>
          <w:numId w:val="1"/>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Bidder’s eligibility</w:t>
      </w:r>
    </w:p>
    <w:p w:rsidR="00DB5803" w:rsidRPr="00BC005A" w:rsidRDefault="00DB5803" w:rsidP="00DB5803">
      <w:pPr>
        <w:numPr>
          <w:ilvl w:val="1"/>
          <w:numId w:val="6"/>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Technical Proposals from the Bidders should provide written confirmation that they are not listed in any of the banned/suspended supplier lists. </w:t>
      </w:r>
      <w:r w:rsidRPr="00BC005A">
        <w:rPr>
          <w:rFonts w:ascii="Calibri" w:eastAsia="Calibri" w:hAnsi="Calibri" w:cs="Calibri"/>
          <w:color w:val="000000"/>
        </w:rPr>
        <w:t>(</w:t>
      </w:r>
      <w:r w:rsidRPr="00BC005A">
        <w:rPr>
          <w:rFonts w:ascii="Calibri" w:eastAsia="Calibri" w:hAnsi="Calibri" w:cs="Calibri"/>
          <w:smallCaps/>
          <w:color w:val="000000"/>
        </w:rPr>
        <w:t>SECTION VI – ANNEX B: BID SUBMISSION FORM</w:t>
      </w:r>
      <w:r w:rsidRPr="00BC005A">
        <w:rPr>
          <w:rFonts w:ascii="Calibri" w:eastAsia="Calibri" w:hAnsi="Calibri" w:cs="Calibri"/>
          <w:color w:val="000000"/>
        </w:rPr>
        <w:t>)</w:t>
      </w:r>
    </w:p>
    <w:p w:rsidR="00DB5803" w:rsidRDefault="00DB5803" w:rsidP="00DB5803">
      <w:pPr>
        <w:rPr>
          <w:rFonts w:ascii="Calibri" w:eastAsia="Calibri" w:hAnsi="Calibri" w:cs="Calibri"/>
        </w:rPr>
      </w:pPr>
    </w:p>
    <w:p w:rsidR="00DB5803" w:rsidRDefault="00DB5803" w:rsidP="00DB5803">
      <w:pPr>
        <w:numPr>
          <w:ilvl w:val="0"/>
          <w:numId w:val="3"/>
        </w:numPr>
        <w:pBdr>
          <w:top w:val="nil"/>
          <w:left w:val="nil"/>
          <w:bottom w:val="nil"/>
          <w:right w:val="nil"/>
          <w:between w:val="nil"/>
        </w:pBdr>
        <w:spacing w:line="276" w:lineRule="auto"/>
        <w:jc w:val="both"/>
        <w:rPr>
          <w:color w:val="000000"/>
        </w:rPr>
      </w:pPr>
      <w:r>
        <w:rPr>
          <w:rFonts w:ascii="Calibri" w:eastAsia="Calibri" w:hAnsi="Calibri" w:cs="Calibri"/>
          <w:color w:val="000000"/>
        </w:rPr>
        <w:t>Listed as suspended or removed by the United Nations Procurement Division (UNPD);</w:t>
      </w:r>
    </w:p>
    <w:p w:rsidR="00DB5803" w:rsidRDefault="00DB5803" w:rsidP="00DB5803">
      <w:pPr>
        <w:numPr>
          <w:ilvl w:val="0"/>
          <w:numId w:val="3"/>
        </w:numPr>
        <w:pBdr>
          <w:top w:val="nil"/>
          <w:left w:val="nil"/>
          <w:bottom w:val="nil"/>
          <w:right w:val="nil"/>
          <w:between w:val="nil"/>
        </w:pBdr>
        <w:jc w:val="both"/>
        <w:rPr>
          <w:color w:val="000000"/>
        </w:rPr>
      </w:pPr>
      <w:r>
        <w:rPr>
          <w:rFonts w:ascii="Calibri" w:eastAsia="Calibri" w:hAnsi="Calibri" w:cs="Calibri"/>
          <w:color w:val="000000"/>
        </w:rPr>
        <w:t>Declared ineligible by other organizations of the United Nations through the disclosure of the ineligibility or listing as suspended on United Nations Global Marketplace Vendor ineligibility list posted on the United Nations Global Market Place (UNGM);</w:t>
      </w:r>
    </w:p>
    <w:p w:rsidR="00DB5803" w:rsidRDefault="00DB5803" w:rsidP="00DB5803">
      <w:pPr>
        <w:numPr>
          <w:ilvl w:val="0"/>
          <w:numId w:val="3"/>
        </w:numPr>
        <w:pBdr>
          <w:top w:val="nil"/>
          <w:left w:val="nil"/>
          <w:bottom w:val="nil"/>
          <w:right w:val="nil"/>
          <w:between w:val="nil"/>
        </w:pBdr>
        <w:spacing w:line="276" w:lineRule="auto"/>
        <w:jc w:val="both"/>
        <w:rPr>
          <w:color w:val="000000"/>
          <w:sz w:val="20"/>
          <w:szCs w:val="20"/>
        </w:rPr>
      </w:pPr>
      <w:r>
        <w:rPr>
          <w:rFonts w:ascii="Calibri" w:eastAsia="Calibri" w:hAnsi="Calibri" w:cs="Calibri"/>
          <w:color w:val="000000"/>
        </w:rPr>
        <w:t xml:space="preserve">Included on the </w:t>
      </w:r>
      <w:hyperlink r:id="rId7">
        <w:r>
          <w:rPr>
            <w:rFonts w:ascii="Calibri" w:eastAsia="Calibri" w:hAnsi="Calibri" w:cs="Calibri"/>
            <w:color w:val="0000FF"/>
            <w:u w:val="single"/>
          </w:rPr>
          <w:t>UN 1267 list</w:t>
        </w:r>
      </w:hyperlink>
      <w:r>
        <w:rPr>
          <w:rFonts w:ascii="Calibri" w:eastAsia="Calibri" w:hAnsi="Calibri" w:cs="Calibri"/>
          <w:color w:val="000000"/>
        </w:rPr>
        <w:t xml:space="preserve"> issued by the Security Council resolution 1267 that establishes a sanctions regime to cover individuals and entities associated with Al-Qaida and/or the Taliban;</w:t>
      </w:r>
    </w:p>
    <w:p w:rsidR="00DB5803" w:rsidRDefault="00DB5803" w:rsidP="00DB5803">
      <w:pPr>
        <w:numPr>
          <w:ilvl w:val="0"/>
          <w:numId w:val="3"/>
        </w:numPr>
        <w:pBdr>
          <w:top w:val="nil"/>
          <w:left w:val="nil"/>
          <w:bottom w:val="nil"/>
          <w:right w:val="nil"/>
          <w:between w:val="nil"/>
        </w:pBdr>
        <w:jc w:val="both"/>
        <w:rPr>
          <w:color w:val="000000"/>
        </w:rPr>
      </w:pPr>
      <w:r>
        <w:rPr>
          <w:rFonts w:ascii="Calibri" w:eastAsia="Calibri" w:hAnsi="Calibri" w:cs="Calibri"/>
          <w:color w:val="000000"/>
        </w:rPr>
        <w:t xml:space="preserve">Debarred by the World Bank Group in accordance with the </w:t>
      </w:r>
      <w:hyperlink r:id="rId8">
        <w:r>
          <w:rPr>
            <w:rFonts w:ascii="Calibri" w:eastAsia="Calibri" w:hAnsi="Calibri" w:cs="Calibri"/>
            <w:color w:val="0000FF"/>
            <w:u w:val="single"/>
          </w:rPr>
          <w:t>WB Listing of Ineligible Firms &amp; Individuals</w:t>
        </w:r>
      </w:hyperlink>
      <w:r>
        <w:rPr>
          <w:rFonts w:ascii="Calibri" w:eastAsia="Calibri" w:hAnsi="Calibri" w:cs="Calibri"/>
          <w:color w:val="0000FF"/>
          <w:u w:val="single"/>
        </w:rPr>
        <w:t xml:space="preserve"> </w:t>
      </w:r>
      <w:r>
        <w:rPr>
          <w:rFonts w:ascii="Calibri" w:eastAsia="Calibri" w:hAnsi="Calibri" w:cs="Calibri"/>
          <w:color w:val="000000"/>
        </w:rPr>
        <w:t xml:space="preserve">and the </w:t>
      </w:r>
      <w:hyperlink r:id="rId9">
        <w:r>
          <w:rPr>
            <w:rFonts w:ascii="Calibri" w:eastAsia="Calibri" w:hAnsi="Calibri" w:cs="Calibri"/>
            <w:color w:val="0000FF"/>
            <w:u w:val="single"/>
          </w:rPr>
          <w:t>WB Corporate Procurement Listing of Non-Responsible Vendors</w:t>
        </w:r>
      </w:hyperlink>
      <w:r>
        <w:rPr>
          <w:rFonts w:ascii="Calibri" w:eastAsia="Calibri" w:hAnsi="Calibri" w:cs="Calibri"/>
          <w:color w:val="000000"/>
        </w:rPr>
        <w:t>.</w:t>
      </w:r>
    </w:p>
    <w:p w:rsidR="00DB5803" w:rsidRDefault="00DB5803" w:rsidP="00DB5803">
      <w:pPr>
        <w:jc w:val="both"/>
        <w:rPr>
          <w:rFonts w:ascii="Calibri" w:eastAsia="Calibri" w:hAnsi="Calibri" w:cs="Calibri"/>
        </w:rPr>
      </w:pPr>
    </w:p>
    <w:p w:rsidR="00DB5803" w:rsidRDefault="00DB5803" w:rsidP="00DB5803">
      <w:pPr>
        <w:jc w:val="both"/>
        <w:rPr>
          <w:rFonts w:ascii="Calibri" w:eastAsia="Calibri" w:hAnsi="Calibri" w:cs="Calibri"/>
        </w:rPr>
      </w:pPr>
    </w:p>
    <w:p w:rsidR="00DB5803" w:rsidRDefault="00DB5803" w:rsidP="00DB5803">
      <w:pPr>
        <w:jc w:val="both"/>
        <w:rPr>
          <w:rFonts w:ascii="Calibri" w:eastAsia="Calibri" w:hAnsi="Calibri" w:cs="Calibri"/>
        </w:rPr>
      </w:pPr>
    </w:p>
    <w:p w:rsidR="00DB5803" w:rsidRDefault="00DB5803" w:rsidP="00DB5803">
      <w:pPr>
        <w:jc w:val="both"/>
        <w:rPr>
          <w:rFonts w:ascii="Calibri" w:eastAsia="Calibri" w:hAnsi="Calibri" w:cs="Calibri"/>
        </w:rPr>
      </w:pPr>
    </w:p>
    <w:p w:rsidR="00DB5803" w:rsidRDefault="00DB5803" w:rsidP="00DB5803">
      <w:pPr>
        <w:jc w:val="both"/>
        <w:rPr>
          <w:rFonts w:ascii="Calibri" w:eastAsia="Calibri" w:hAnsi="Calibri" w:cs="Calibri"/>
        </w:rPr>
      </w:pPr>
    </w:p>
    <w:p w:rsidR="00DB5803" w:rsidRDefault="00DB5803" w:rsidP="00DB5803">
      <w:pPr>
        <w:jc w:val="both"/>
        <w:rPr>
          <w:rFonts w:ascii="Calibri" w:eastAsia="Calibri" w:hAnsi="Calibri" w:cs="Calibri"/>
        </w:rPr>
      </w:pPr>
    </w:p>
    <w:p w:rsidR="00DB5803" w:rsidRDefault="00DB5803" w:rsidP="00DB5803">
      <w:pPr>
        <w:jc w:val="both"/>
        <w:rPr>
          <w:rFonts w:ascii="Calibri" w:eastAsia="Calibri" w:hAnsi="Calibri" w:cs="Calibri"/>
        </w:rPr>
      </w:pPr>
    </w:p>
    <w:p w:rsidR="00DB5803" w:rsidRDefault="00DB5803" w:rsidP="00DB5803">
      <w:pPr>
        <w:numPr>
          <w:ilvl w:val="0"/>
          <w:numId w:val="1"/>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Financial stability</w:t>
      </w:r>
    </w:p>
    <w:p w:rsidR="00DB5803" w:rsidRPr="00DB5803" w:rsidRDefault="00DB5803" w:rsidP="00DB5803">
      <w:pPr>
        <w:numPr>
          <w:ilvl w:val="1"/>
          <w:numId w:val="7"/>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Financial stability of the Bidders will be judged based on the ratios such as current ratio, quick ratio and debt ratio. Bidders are requested to provide key financial ratios using the table below with their audited financial statements to support the statements. The financial ratios should cover key financial stability ratios over a five-year period, including those mentioned in the table below. </w:t>
      </w:r>
    </w:p>
    <w:p w:rsidR="00DB5803" w:rsidRDefault="00DB5803" w:rsidP="00DB5803">
      <w:pPr>
        <w:pBdr>
          <w:top w:val="nil"/>
          <w:left w:val="nil"/>
          <w:bottom w:val="nil"/>
          <w:right w:val="nil"/>
          <w:between w:val="nil"/>
        </w:pBdr>
        <w:tabs>
          <w:tab w:val="left" w:pos="851"/>
        </w:tabs>
        <w:spacing w:line="276" w:lineRule="auto"/>
        <w:ind w:left="792"/>
        <w:jc w:val="both"/>
        <w:rPr>
          <w:color w:val="000000"/>
        </w:rPr>
      </w:pPr>
      <w:bookmarkStart w:id="0" w:name="_GoBack"/>
      <w:bookmarkEnd w:id="0"/>
    </w:p>
    <w:p w:rsidR="00DB5803" w:rsidRDefault="00DB5803" w:rsidP="00DB5803">
      <w:pPr>
        <w:keepNext/>
        <w:keepLines/>
        <w:jc w:val="both"/>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1490"/>
        <w:gridCol w:w="1490"/>
        <w:gridCol w:w="1490"/>
        <w:gridCol w:w="1490"/>
        <w:gridCol w:w="1490"/>
      </w:tblGrid>
      <w:tr w:rsidR="00DB5803" w:rsidTr="00A53DE9">
        <w:tc>
          <w:tcPr>
            <w:tcW w:w="1566" w:type="dxa"/>
          </w:tcPr>
          <w:p w:rsidR="00DB5803" w:rsidRDefault="00DB5803" w:rsidP="00A53DE9">
            <w:pPr>
              <w:jc w:val="center"/>
              <w:rPr>
                <w:rFonts w:ascii="Calibri" w:eastAsia="Calibri" w:hAnsi="Calibri" w:cs="Calibri"/>
                <w:b/>
              </w:rPr>
            </w:pPr>
            <w:r>
              <w:rPr>
                <w:rFonts w:ascii="Calibri" w:eastAsia="Calibri" w:hAnsi="Calibri" w:cs="Calibri"/>
                <w:b/>
              </w:rPr>
              <w:t>Financial Ratio</w:t>
            </w:r>
          </w:p>
        </w:tc>
        <w:tc>
          <w:tcPr>
            <w:tcW w:w="1490" w:type="dxa"/>
          </w:tcPr>
          <w:p w:rsidR="00DB5803" w:rsidRDefault="00DB5803" w:rsidP="00A53DE9">
            <w:pPr>
              <w:jc w:val="center"/>
              <w:rPr>
                <w:rFonts w:ascii="Calibri" w:eastAsia="Calibri" w:hAnsi="Calibri" w:cs="Calibri"/>
                <w:b/>
                <w:highlight w:val="yellow"/>
              </w:rPr>
            </w:pPr>
            <w:r w:rsidRPr="00BC005A">
              <w:rPr>
                <w:rFonts w:ascii="Calibri" w:eastAsia="Calibri" w:hAnsi="Calibri" w:cs="Calibri"/>
                <w:b/>
              </w:rPr>
              <w:t>2014</w:t>
            </w:r>
          </w:p>
        </w:tc>
        <w:tc>
          <w:tcPr>
            <w:tcW w:w="1490" w:type="dxa"/>
          </w:tcPr>
          <w:p w:rsidR="00DB5803" w:rsidRDefault="00DB5803" w:rsidP="00A53DE9">
            <w:pPr>
              <w:jc w:val="center"/>
              <w:rPr>
                <w:rFonts w:ascii="Calibri" w:eastAsia="Calibri" w:hAnsi="Calibri" w:cs="Calibri"/>
                <w:b/>
                <w:highlight w:val="yellow"/>
              </w:rPr>
            </w:pPr>
            <w:r w:rsidRPr="00BC005A">
              <w:rPr>
                <w:rFonts w:ascii="Calibri" w:eastAsia="Calibri" w:hAnsi="Calibri" w:cs="Calibri"/>
                <w:b/>
              </w:rPr>
              <w:t>2015</w:t>
            </w:r>
          </w:p>
        </w:tc>
        <w:tc>
          <w:tcPr>
            <w:tcW w:w="1490" w:type="dxa"/>
          </w:tcPr>
          <w:p w:rsidR="00DB5803" w:rsidRDefault="00DB5803" w:rsidP="00A53DE9">
            <w:pPr>
              <w:jc w:val="center"/>
              <w:rPr>
                <w:rFonts w:ascii="Calibri" w:eastAsia="Calibri" w:hAnsi="Calibri" w:cs="Calibri"/>
                <w:b/>
                <w:highlight w:val="yellow"/>
              </w:rPr>
            </w:pPr>
            <w:r w:rsidRPr="00BC005A">
              <w:rPr>
                <w:rFonts w:ascii="Calibri" w:eastAsia="Calibri" w:hAnsi="Calibri" w:cs="Calibri"/>
                <w:b/>
              </w:rPr>
              <w:t>2016</w:t>
            </w:r>
          </w:p>
        </w:tc>
        <w:tc>
          <w:tcPr>
            <w:tcW w:w="1490" w:type="dxa"/>
          </w:tcPr>
          <w:p w:rsidR="00DB5803" w:rsidRDefault="00DB5803" w:rsidP="00A53DE9">
            <w:pPr>
              <w:jc w:val="center"/>
              <w:rPr>
                <w:rFonts w:ascii="Calibri" w:eastAsia="Calibri" w:hAnsi="Calibri" w:cs="Calibri"/>
                <w:b/>
                <w:highlight w:val="yellow"/>
              </w:rPr>
            </w:pPr>
            <w:r w:rsidRPr="00BC005A">
              <w:rPr>
                <w:rFonts w:ascii="Calibri" w:eastAsia="Calibri" w:hAnsi="Calibri" w:cs="Calibri"/>
                <w:b/>
              </w:rPr>
              <w:t>2017</w:t>
            </w:r>
          </w:p>
        </w:tc>
        <w:tc>
          <w:tcPr>
            <w:tcW w:w="1490" w:type="dxa"/>
          </w:tcPr>
          <w:p w:rsidR="00DB5803" w:rsidRDefault="00DB5803" w:rsidP="00A53DE9">
            <w:pPr>
              <w:jc w:val="center"/>
              <w:rPr>
                <w:rFonts w:ascii="Calibri" w:eastAsia="Calibri" w:hAnsi="Calibri" w:cs="Calibri"/>
                <w:b/>
                <w:highlight w:val="yellow"/>
              </w:rPr>
            </w:pPr>
            <w:r w:rsidRPr="00BC005A">
              <w:rPr>
                <w:rFonts w:ascii="Calibri" w:eastAsia="Calibri" w:hAnsi="Calibri" w:cs="Calibri"/>
                <w:b/>
              </w:rPr>
              <w:t>2018</w:t>
            </w:r>
          </w:p>
        </w:tc>
      </w:tr>
      <w:tr w:rsidR="00DB5803" w:rsidTr="00A53DE9">
        <w:tc>
          <w:tcPr>
            <w:tcW w:w="1566" w:type="dxa"/>
          </w:tcPr>
          <w:p w:rsidR="00DB5803" w:rsidRDefault="00DB5803" w:rsidP="00A53DE9">
            <w:pPr>
              <w:rPr>
                <w:rFonts w:ascii="Calibri" w:eastAsia="Calibri" w:hAnsi="Calibri" w:cs="Calibri"/>
              </w:rPr>
            </w:pPr>
            <w:r>
              <w:rPr>
                <w:rFonts w:ascii="Calibri" w:eastAsia="Calibri" w:hAnsi="Calibri" w:cs="Calibri"/>
              </w:rPr>
              <w:t>Current ratio</w:t>
            </w: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r>
      <w:tr w:rsidR="00DB5803" w:rsidTr="00A53DE9">
        <w:tc>
          <w:tcPr>
            <w:tcW w:w="1566" w:type="dxa"/>
          </w:tcPr>
          <w:p w:rsidR="00DB5803" w:rsidRDefault="00DB5803" w:rsidP="00A53DE9">
            <w:pPr>
              <w:rPr>
                <w:rFonts w:ascii="Calibri" w:eastAsia="Calibri" w:hAnsi="Calibri" w:cs="Calibri"/>
              </w:rPr>
            </w:pPr>
            <w:r>
              <w:rPr>
                <w:rFonts w:ascii="Calibri" w:eastAsia="Calibri" w:hAnsi="Calibri" w:cs="Calibri"/>
              </w:rPr>
              <w:t>Quick ratio</w:t>
            </w: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r>
      <w:tr w:rsidR="00DB5803" w:rsidTr="00A53DE9">
        <w:tc>
          <w:tcPr>
            <w:tcW w:w="1566" w:type="dxa"/>
          </w:tcPr>
          <w:p w:rsidR="00DB5803" w:rsidRDefault="00DB5803" w:rsidP="00A53DE9">
            <w:pPr>
              <w:rPr>
                <w:rFonts w:ascii="Calibri" w:eastAsia="Calibri" w:hAnsi="Calibri" w:cs="Calibri"/>
              </w:rPr>
            </w:pPr>
            <w:r>
              <w:rPr>
                <w:rFonts w:ascii="Calibri" w:eastAsia="Calibri" w:hAnsi="Calibri" w:cs="Calibri"/>
              </w:rPr>
              <w:t>Debt ratio</w:t>
            </w: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r>
      <w:tr w:rsidR="00DB5803" w:rsidTr="00A53DE9">
        <w:tc>
          <w:tcPr>
            <w:tcW w:w="1566" w:type="dxa"/>
          </w:tcPr>
          <w:p w:rsidR="00DB5803" w:rsidRDefault="00DB5803" w:rsidP="00A53DE9">
            <w:pPr>
              <w:jc w:val="center"/>
              <w:rPr>
                <w:rFonts w:ascii="Calibri" w:eastAsia="Calibri" w:hAnsi="Calibri" w:cs="Calibri"/>
              </w:rPr>
            </w:pPr>
            <w:r>
              <w:rPr>
                <w:rFonts w:ascii="Calibri" w:eastAsia="Calibri" w:hAnsi="Calibri" w:cs="Calibri"/>
              </w:rPr>
              <w:t>………….</w:t>
            </w: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c>
          <w:tcPr>
            <w:tcW w:w="1490" w:type="dxa"/>
          </w:tcPr>
          <w:p w:rsidR="00DB5803" w:rsidRDefault="00DB5803" w:rsidP="00A53DE9">
            <w:pPr>
              <w:rPr>
                <w:rFonts w:ascii="Calibri" w:eastAsia="Calibri" w:hAnsi="Calibri" w:cs="Calibri"/>
              </w:rPr>
            </w:pPr>
          </w:p>
        </w:tc>
      </w:tr>
    </w:tbl>
    <w:p w:rsidR="00DB5803" w:rsidRDefault="00DB5803" w:rsidP="00DB5803">
      <w:pPr>
        <w:keepNext/>
        <w:keepLines/>
        <w:jc w:val="both"/>
        <w:rPr>
          <w:rFonts w:ascii="Calibri" w:eastAsia="Calibri" w:hAnsi="Calibri" w:cs="Calibri"/>
        </w:rPr>
      </w:pPr>
    </w:p>
    <w:p w:rsidR="00DB5803" w:rsidRDefault="00DB5803" w:rsidP="00DB5803">
      <w:pPr>
        <w:numPr>
          <w:ilvl w:val="1"/>
          <w:numId w:val="7"/>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Evidence that the Bidder has successfully completed at least one similar contract/LTA within the last five years for supply of goods or services as offered. </w:t>
      </w:r>
    </w:p>
    <w:p w:rsidR="00DB5803" w:rsidRDefault="00DB5803" w:rsidP="00DB5803">
      <w:pPr>
        <w:numPr>
          <w:ilvl w:val="1"/>
          <w:numId w:val="7"/>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Provide contact details of commercial banks and names of contact persons from whom UNFPA could seek feedback regarding financial stability.</w:t>
      </w:r>
    </w:p>
    <w:p w:rsidR="00DB5803" w:rsidRDefault="00DB5803" w:rsidP="00DB5803">
      <w:pPr>
        <w:rPr>
          <w:rFonts w:ascii="Calibri" w:eastAsia="Calibri" w:hAnsi="Calibri" w:cs="Calibri"/>
        </w:rPr>
      </w:pPr>
    </w:p>
    <w:p w:rsidR="00DB5803" w:rsidRDefault="00DB5803" w:rsidP="00DB5803">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Experience and Technical Capacity</w:t>
      </w:r>
      <w:r>
        <w:rPr>
          <w:rFonts w:ascii="Calibri" w:eastAsia="Calibri" w:hAnsi="Calibri" w:cs="Calibri"/>
          <w:color w:val="000000"/>
        </w:rPr>
        <w:t xml:space="preserve"> </w:t>
      </w:r>
    </w:p>
    <w:p w:rsidR="00DB5803" w:rsidRDefault="00DB5803" w:rsidP="00DB5803">
      <w:pPr>
        <w:rPr>
          <w:rFonts w:ascii="Calibri" w:eastAsia="Calibri" w:hAnsi="Calibri" w:cs="Calibri"/>
          <w:b/>
        </w:rPr>
      </w:pPr>
    </w:p>
    <w:p w:rsidR="00DB5803" w:rsidRDefault="00DB5803" w:rsidP="00DB5803">
      <w:pPr>
        <w:numPr>
          <w:ilvl w:val="0"/>
          <w:numId w:val="4"/>
        </w:numPr>
        <w:pBdr>
          <w:top w:val="nil"/>
          <w:left w:val="nil"/>
          <w:bottom w:val="nil"/>
          <w:right w:val="nil"/>
          <w:between w:val="nil"/>
        </w:pBdr>
        <w:rPr>
          <w:color w:val="000000"/>
        </w:rPr>
      </w:pPr>
      <w:r>
        <w:rPr>
          <w:rFonts w:ascii="Calibri" w:eastAsia="Calibri" w:hAnsi="Calibri" w:cs="Calibri"/>
          <w:color w:val="000000"/>
        </w:rPr>
        <w:t>Company’s managerial capabilities</w:t>
      </w:r>
    </w:p>
    <w:p w:rsidR="00DB5803" w:rsidRDefault="00DB5803" w:rsidP="00DB5803">
      <w:pPr>
        <w:numPr>
          <w:ilvl w:val="0"/>
          <w:numId w:val="4"/>
        </w:numPr>
        <w:pBdr>
          <w:top w:val="nil"/>
          <w:left w:val="nil"/>
          <w:bottom w:val="nil"/>
          <w:right w:val="nil"/>
          <w:between w:val="nil"/>
        </w:pBdr>
        <w:rPr>
          <w:color w:val="000000"/>
        </w:rPr>
      </w:pPr>
      <w:r>
        <w:rPr>
          <w:rFonts w:ascii="Calibri" w:eastAsia="Calibri" w:hAnsi="Calibri" w:cs="Calibri"/>
          <w:color w:val="000000"/>
        </w:rPr>
        <w:t>Evidence for quality assurance systems in place</w:t>
      </w:r>
    </w:p>
    <w:p w:rsidR="00DB5803" w:rsidRDefault="00DB5803" w:rsidP="00DB5803">
      <w:pPr>
        <w:numPr>
          <w:ilvl w:val="0"/>
          <w:numId w:val="4"/>
        </w:numPr>
        <w:pBdr>
          <w:top w:val="nil"/>
          <w:left w:val="nil"/>
          <w:bottom w:val="nil"/>
          <w:right w:val="nil"/>
          <w:between w:val="nil"/>
        </w:pBdr>
        <w:rPr>
          <w:color w:val="000000"/>
        </w:rPr>
      </w:pPr>
      <w:r>
        <w:rPr>
          <w:rFonts w:ascii="Calibri" w:eastAsia="Calibri" w:hAnsi="Calibri" w:cs="Calibri"/>
          <w:color w:val="000000"/>
        </w:rPr>
        <w:t>Bidder must have delivered similar services satisfactorily to UN or similar organizations during the last three years, and the services should have been delivered with no negative performance reports</w:t>
      </w:r>
    </w:p>
    <w:p w:rsidR="00DB5803" w:rsidRDefault="00DB5803" w:rsidP="00DB5803">
      <w:pPr>
        <w:numPr>
          <w:ilvl w:val="0"/>
          <w:numId w:val="4"/>
        </w:numPr>
        <w:pBdr>
          <w:top w:val="nil"/>
          <w:left w:val="nil"/>
          <w:bottom w:val="nil"/>
          <w:right w:val="nil"/>
          <w:between w:val="nil"/>
        </w:pBdr>
        <w:rPr>
          <w:color w:val="000000"/>
        </w:rPr>
      </w:pPr>
      <w:r>
        <w:rPr>
          <w:rFonts w:ascii="Calibri" w:eastAsia="Calibri" w:hAnsi="Calibri" w:cs="Calibri"/>
          <w:color w:val="000000"/>
        </w:rPr>
        <w:t>References in support of the satisfactory delivery of services specified above</w:t>
      </w:r>
    </w:p>
    <w:p w:rsidR="00DB5803" w:rsidRDefault="00DB5803" w:rsidP="00DB5803">
      <w:pPr>
        <w:numPr>
          <w:ilvl w:val="0"/>
          <w:numId w:val="4"/>
        </w:numPr>
        <w:pBdr>
          <w:top w:val="nil"/>
          <w:left w:val="nil"/>
          <w:bottom w:val="nil"/>
          <w:right w:val="nil"/>
          <w:between w:val="nil"/>
        </w:pBdr>
        <w:rPr>
          <w:color w:val="000000"/>
        </w:rPr>
      </w:pPr>
      <w:r>
        <w:rPr>
          <w:rFonts w:ascii="Calibri" w:eastAsia="Calibri" w:hAnsi="Calibri" w:cs="Calibri"/>
          <w:color w:val="000000"/>
        </w:rPr>
        <w:t>Data to support that the Bidder has capacity to perform the services that will be issued pursuant to the contract and complete the deliverables within the stipulated delivery period</w:t>
      </w:r>
    </w:p>
    <w:p w:rsidR="00401F40" w:rsidRDefault="00615624"/>
    <w:sectPr w:rsidR="00401F4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24" w:rsidRDefault="00615624" w:rsidP="00DB5803">
      <w:r>
        <w:separator/>
      </w:r>
    </w:p>
  </w:endnote>
  <w:endnote w:type="continuationSeparator" w:id="0">
    <w:p w:rsidR="00615624" w:rsidRDefault="00615624" w:rsidP="00DB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24" w:rsidRDefault="00615624" w:rsidP="00DB5803">
      <w:r>
        <w:separator/>
      </w:r>
    </w:p>
  </w:footnote>
  <w:footnote w:type="continuationSeparator" w:id="0">
    <w:p w:rsidR="00615624" w:rsidRDefault="00615624" w:rsidP="00DB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03" w:rsidRDefault="00DB5803">
    <w:pPr>
      <w:pStyle w:val="Header"/>
    </w:pPr>
    <w:r>
      <w:rPr>
        <w:noProof/>
        <w:lang w:val="en-GB"/>
      </w:rPr>
      <w:drawing>
        <wp:anchor distT="0" distB="0" distL="114300" distR="114300" simplePos="0" relativeHeight="251659264" behindDoc="0" locked="0" layoutInCell="1" hidden="0" allowOverlap="1" wp14:anchorId="6C15452E" wp14:editId="070BF192">
          <wp:simplePos x="0" y="0"/>
          <wp:positionH relativeFrom="column">
            <wp:posOffset>-561975</wp:posOffset>
          </wp:positionH>
          <wp:positionV relativeFrom="paragraph">
            <wp:posOffset>-343535</wp:posOffset>
          </wp:positionV>
          <wp:extent cx="1286510" cy="595630"/>
          <wp:effectExtent l="0" t="0" r="0" b="0"/>
          <wp:wrapNone/>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2E6"/>
    <w:multiLevelType w:val="multilevel"/>
    <w:tmpl w:val="630EA6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02198"/>
    <w:multiLevelType w:val="multilevel"/>
    <w:tmpl w:val="D9D20806"/>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462B0"/>
    <w:multiLevelType w:val="multilevel"/>
    <w:tmpl w:val="8BF0EB78"/>
    <w:lvl w:ilvl="0">
      <w:start w:val="3"/>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20A1C"/>
    <w:multiLevelType w:val="multilevel"/>
    <w:tmpl w:val="ECA4E6E2"/>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A3920"/>
    <w:multiLevelType w:val="multilevel"/>
    <w:tmpl w:val="8DD6CCB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3F757C4"/>
    <w:multiLevelType w:val="multilevel"/>
    <w:tmpl w:val="7DF6E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E7C3FC1"/>
    <w:multiLevelType w:val="multilevel"/>
    <w:tmpl w:val="463CED6C"/>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03"/>
    <w:rsid w:val="0025012B"/>
    <w:rsid w:val="00615624"/>
    <w:rsid w:val="00DB5803"/>
    <w:rsid w:val="00F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F28A-E3BA-4DEE-B6CC-4E39A40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5803"/>
    <w:pPr>
      <w:spacing w:after="0" w:line="240" w:lineRule="auto"/>
    </w:pPr>
    <w:rPr>
      <w:rFonts w:ascii="Times New Roman" w:eastAsia="Times New Roman" w:hAnsi="Times New Roman" w:cs="Times New Roman"/>
      <w:lang w:val="en-US" w:eastAsia="en-GB"/>
    </w:rPr>
  </w:style>
  <w:style w:type="paragraph" w:styleId="Heading1">
    <w:name w:val="heading 1"/>
    <w:basedOn w:val="Normal"/>
    <w:next w:val="Normal"/>
    <w:link w:val="Heading1Char"/>
    <w:rsid w:val="00DB5803"/>
    <w:pPr>
      <w:keepNext/>
      <w:keepLines/>
      <w:spacing w:before="48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03"/>
    <w:pPr>
      <w:tabs>
        <w:tab w:val="center" w:pos="4513"/>
        <w:tab w:val="right" w:pos="9026"/>
      </w:tabs>
    </w:pPr>
  </w:style>
  <w:style w:type="character" w:customStyle="1" w:styleId="HeaderChar">
    <w:name w:val="Header Char"/>
    <w:basedOn w:val="DefaultParagraphFont"/>
    <w:link w:val="Header"/>
    <w:uiPriority w:val="99"/>
    <w:rsid w:val="00DB5803"/>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DB5803"/>
    <w:pPr>
      <w:tabs>
        <w:tab w:val="center" w:pos="4513"/>
        <w:tab w:val="right" w:pos="9026"/>
      </w:tabs>
    </w:pPr>
  </w:style>
  <w:style w:type="character" w:customStyle="1" w:styleId="FooterChar">
    <w:name w:val="Footer Char"/>
    <w:basedOn w:val="DefaultParagraphFont"/>
    <w:link w:val="Footer"/>
    <w:uiPriority w:val="99"/>
    <w:rsid w:val="00DB5803"/>
    <w:rPr>
      <w:rFonts w:ascii="Times New Roman" w:eastAsia="Times New Roman" w:hAnsi="Times New Roman" w:cs="Times New Roman"/>
      <w:lang w:val="en-US" w:eastAsia="en-GB"/>
    </w:rPr>
  </w:style>
  <w:style w:type="character" w:customStyle="1" w:styleId="Heading1Char">
    <w:name w:val="Heading 1 Char"/>
    <w:basedOn w:val="DefaultParagraphFont"/>
    <w:link w:val="Heading1"/>
    <w:rsid w:val="00DB5803"/>
    <w:rPr>
      <w:rFonts w:ascii="Cambria" w:eastAsia="Cambria" w:hAnsi="Cambria" w:cs="Cambria"/>
      <w:b/>
      <w:color w:val="366091"/>
      <w:sz w:val="28"/>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external/default/main?theSitePK=84266&amp;contentMDK=64069844&amp;menuPK=116730&amp;pagePK=64148989&amp;piPK=64148984"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worldbank.org/WBSITE/EXTERNAL/OPPORTUNITIES/EXTCORPPROCUREMENT/0,,contentMDK:22030810~pagePK:64147231~piPK:64147158~theSitePK:438017,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Matinga</dc:creator>
  <cp:keywords/>
  <dc:description/>
  <cp:lastModifiedBy>Peter Matinga</cp:lastModifiedBy>
  <cp:revision>1</cp:revision>
  <dcterms:created xsi:type="dcterms:W3CDTF">2019-05-16T07:14:00Z</dcterms:created>
  <dcterms:modified xsi:type="dcterms:W3CDTF">2019-05-16T07:16:00Z</dcterms:modified>
</cp:coreProperties>
</file>